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565D08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APL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7E73F0">
        <w:rPr>
          <w:rFonts w:ascii="Arial" w:hAnsi="Arial" w:cs="Arial"/>
          <w:b/>
          <w:sz w:val="20"/>
          <w:szCs w:val="20"/>
        </w:rPr>
        <w:t>General Mandate</w:t>
      </w:r>
      <w:r w:rsidR="00D83B97">
        <w:rPr>
          <w:rFonts w:ascii="Arial" w:hAnsi="Arial" w:cs="Arial"/>
          <w:b/>
          <w:sz w:val="20"/>
          <w:szCs w:val="20"/>
        </w:rPr>
        <w:t xml:space="preserve">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565D08" w:rsidRDefault="00B70D7E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65D08">
        <w:rPr>
          <w:rFonts w:ascii="Arial" w:hAnsi="Arial" w:cs="Arial"/>
          <w:sz w:val="20"/>
          <w:szCs w:val="20"/>
        </w:rPr>
        <w:t>21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Vvmi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>-Mechanical And Pressure Equipment Joint Stock Company</w:t>
      </w:r>
      <w:r w:rsidR="00565D0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7E73F0">
        <w:rPr>
          <w:rFonts w:ascii="Arial" w:hAnsi="Arial" w:cs="Arial"/>
          <w:sz w:val="20"/>
          <w:szCs w:val="20"/>
        </w:rPr>
        <w:t>General Mandate 2020 as follows: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</w:p>
    <w:p w:rsidR="00565D08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5D08">
        <w:rPr>
          <w:rFonts w:ascii="Arial" w:hAnsi="Arial" w:cs="Arial"/>
          <w:sz w:val="20"/>
          <w:szCs w:val="20"/>
        </w:rPr>
        <w:t>Article 1: Approving the following</w:t>
      </w:r>
      <w:r>
        <w:rPr>
          <w:rFonts w:ascii="Arial" w:hAnsi="Arial" w:cs="Arial"/>
          <w:sz w:val="20"/>
          <w:szCs w:val="20"/>
        </w:rPr>
        <w:t>s</w:t>
      </w:r>
      <w:r w:rsidRPr="00565D08">
        <w:rPr>
          <w:rFonts w:ascii="Arial" w:hAnsi="Arial" w:cs="Arial"/>
          <w:sz w:val="20"/>
          <w:szCs w:val="20"/>
        </w:rPr>
        <w:t xml:space="preserve">: </w:t>
      </w:r>
    </w:p>
    <w:p w:rsidR="00565D08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65D08">
        <w:rPr>
          <w:rFonts w:ascii="Arial" w:hAnsi="Arial" w:cs="Arial"/>
          <w:sz w:val="20"/>
          <w:szCs w:val="20"/>
        </w:rPr>
        <w:t>Approve the report on business results in 2019 and the dire</w:t>
      </w:r>
      <w:r>
        <w:rPr>
          <w:rFonts w:ascii="Arial" w:hAnsi="Arial" w:cs="Arial"/>
          <w:sz w:val="20"/>
          <w:szCs w:val="20"/>
        </w:rPr>
        <w:t xml:space="preserve">ction of business plan in 2020; </w:t>
      </w:r>
      <w:r w:rsidRPr="00565D08">
        <w:rPr>
          <w:rFonts w:ascii="Arial" w:hAnsi="Arial" w:cs="Arial"/>
          <w:sz w:val="20"/>
          <w:szCs w:val="20"/>
        </w:rPr>
        <w:t xml:space="preserve">Operation report of the Board of Directors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565D08">
        <w:rPr>
          <w:rFonts w:ascii="Arial" w:hAnsi="Arial" w:cs="Arial"/>
          <w:sz w:val="20"/>
          <w:szCs w:val="20"/>
        </w:rPr>
        <w:t>2015 - 2020 an</w:t>
      </w:r>
      <w:r>
        <w:rPr>
          <w:rFonts w:ascii="Arial" w:hAnsi="Arial" w:cs="Arial"/>
          <w:sz w:val="20"/>
          <w:szCs w:val="20"/>
        </w:rPr>
        <w:t>d directions for tasks in 2020;</w:t>
      </w:r>
      <w:r w:rsidRPr="00565D08">
        <w:rPr>
          <w:rFonts w:ascii="Arial" w:hAnsi="Arial" w:cs="Arial"/>
          <w:sz w:val="20"/>
          <w:szCs w:val="20"/>
        </w:rPr>
        <w:t xml:space="preserve"> Supervision reports on activities of the Board of Directors and the </w:t>
      </w:r>
      <w:r>
        <w:rPr>
          <w:rFonts w:ascii="Arial" w:hAnsi="Arial" w:cs="Arial"/>
          <w:sz w:val="20"/>
          <w:szCs w:val="20"/>
        </w:rPr>
        <w:t>C</w:t>
      </w:r>
      <w:r w:rsidRPr="00565D08">
        <w:rPr>
          <w:rFonts w:ascii="Arial" w:hAnsi="Arial" w:cs="Arial"/>
          <w:sz w:val="20"/>
          <w:szCs w:val="20"/>
        </w:rPr>
        <w:t>ompany's operating apparatus, evaluation of business resu</w:t>
      </w:r>
      <w:r>
        <w:rPr>
          <w:rFonts w:ascii="Arial" w:hAnsi="Arial" w:cs="Arial"/>
          <w:sz w:val="20"/>
          <w:szCs w:val="20"/>
        </w:rPr>
        <w:t>lts and financial status in 2019 of the Supervisory Board</w:t>
      </w:r>
    </w:p>
    <w:p w:rsidR="00565D08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65D08">
        <w:rPr>
          <w:rFonts w:ascii="Arial" w:hAnsi="Arial" w:cs="Arial"/>
          <w:sz w:val="20"/>
          <w:szCs w:val="20"/>
        </w:rPr>
        <w:t xml:space="preserve">Approving the Company's business and production plan for 2020 with the following main targets: </w:t>
      </w:r>
    </w:p>
    <w:p w:rsidR="00565D08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5D08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1 Minimum revenue:</w:t>
      </w:r>
      <w:r w:rsidRPr="00565D08">
        <w:rPr>
          <w:rFonts w:ascii="Arial" w:hAnsi="Arial" w:cs="Arial"/>
          <w:sz w:val="20"/>
          <w:szCs w:val="20"/>
        </w:rPr>
        <w:t xml:space="preserve"> VND 350 billion </w:t>
      </w:r>
    </w:p>
    <w:p w:rsidR="00565D08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565D08">
        <w:rPr>
          <w:rFonts w:ascii="Arial" w:hAnsi="Arial" w:cs="Arial"/>
          <w:sz w:val="20"/>
          <w:szCs w:val="20"/>
        </w:rPr>
        <w:t xml:space="preserve">2 Minimum profit before tax: VND 3 billion </w:t>
      </w:r>
    </w:p>
    <w:p w:rsidR="00565D08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565D08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Dividend payment to shareholders: 12%/c</w:t>
      </w:r>
      <w:r w:rsidRPr="00565D08">
        <w:rPr>
          <w:rFonts w:ascii="Arial" w:hAnsi="Arial" w:cs="Arial"/>
          <w:sz w:val="20"/>
          <w:szCs w:val="20"/>
        </w:rPr>
        <w:t xml:space="preserve">harter capital </w:t>
      </w:r>
      <w:r>
        <w:rPr>
          <w:rFonts w:ascii="Arial" w:hAnsi="Arial" w:cs="Arial"/>
          <w:sz w:val="20"/>
          <w:szCs w:val="20"/>
        </w:rPr>
        <w:t xml:space="preserve">of VND </w:t>
      </w:r>
      <w:r w:rsidRPr="00565D08">
        <w:rPr>
          <w:rFonts w:ascii="Arial" w:hAnsi="Arial" w:cs="Arial"/>
          <w:sz w:val="20"/>
          <w:szCs w:val="20"/>
        </w:rPr>
        <w:t xml:space="preserve">12 billion </w:t>
      </w:r>
    </w:p>
    <w:p w:rsidR="00565D08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565D08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Average</w:t>
      </w:r>
      <w:r w:rsidRPr="00565D08">
        <w:rPr>
          <w:rFonts w:ascii="Arial" w:hAnsi="Arial" w:cs="Arial"/>
          <w:sz w:val="20"/>
          <w:szCs w:val="20"/>
        </w:rPr>
        <w:t xml:space="preserve"> salary for 1 employee: </w:t>
      </w:r>
      <w:r w:rsidRPr="00565D08">
        <w:rPr>
          <w:rFonts w:ascii="Arial" w:hAnsi="Arial" w:cs="Arial"/>
          <w:sz w:val="20"/>
          <w:szCs w:val="20"/>
        </w:rPr>
        <w:t>VND</w:t>
      </w:r>
      <w:r w:rsidRPr="00565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8,757,000</w:t>
      </w:r>
      <w:r w:rsidRPr="00565D08">
        <w:rPr>
          <w:rFonts w:ascii="Arial" w:hAnsi="Arial" w:cs="Arial"/>
          <w:sz w:val="20"/>
          <w:szCs w:val="20"/>
        </w:rPr>
        <w:t>/ person</w:t>
      </w:r>
      <w:r>
        <w:rPr>
          <w:rFonts w:ascii="Arial" w:hAnsi="Arial" w:cs="Arial"/>
          <w:sz w:val="20"/>
          <w:szCs w:val="20"/>
        </w:rPr>
        <w:t>/ month</w:t>
      </w:r>
    </w:p>
    <w:p w:rsidR="00565D08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Approve</w:t>
      </w:r>
      <w:r w:rsidRPr="00565D08">
        <w:rPr>
          <w:rFonts w:ascii="Arial" w:hAnsi="Arial" w:cs="Arial"/>
          <w:sz w:val="20"/>
          <w:szCs w:val="20"/>
        </w:rPr>
        <w:t xml:space="preserve"> the 2</w:t>
      </w:r>
      <w:r>
        <w:rPr>
          <w:rFonts w:ascii="Arial" w:hAnsi="Arial" w:cs="Arial"/>
          <w:sz w:val="20"/>
          <w:szCs w:val="20"/>
        </w:rPr>
        <w:t>019 financial statement of the C</w:t>
      </w:r>
      <w:r w:rsidRPr="00565D08">
        <w:rPr>
          <w:rFonts w:ascii="Arial" w:hAnsi="Arial" w:cs="Arial"/>
          <w:sz w:val="20"/>
          <w:szCs w:val="20"/>
        </w:rPr>
        <w:t xml:space="preserve">ompany audited by </w:t>
      </w:r>
      <w:r>
        <w:rPr>
          <w:rFonts w:ascii="Arial" w:hAnsi="Arial" w:cs="Arial"/>
          <w:sz w:val="20"/>
          <w:szCs w:val="20"/>
        </w:rPr>
        <w:t>an independent auditing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0768F4" w:rsidTr="00660965">
        <w:tc>
          <w:tcPr>
            <w:tcW w:w="7398" w:type="dxa"/>
          </w:tcPr>
          <w:p w:rsidR="000768F4" w:rsidRDefault="000768F4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178" w:type="dxa"/>
          </w:tcPr>
          <w:p w:rsidR="000768F4" w:rsidRDefault="000768F4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0768F4" w:rsidTr="00660965">
        <w:tc>
          <w:tcPr>
            <w:tcW w:w="7398" w:type="dxa"/>
          </w:tcPr>
          <w:p w:rsidR="000768F4" w:rsidRDefault="000768F4" w:rsidP="00076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Sales revenue 2019 </w:t>
            </w:r>
          </w:p>
        </w:tc>
        <w:tc>
          <w:tcPr>
            <w:tcW w:w="2178" w:type="dxa"/>
          </w:tcPr>
          <w:p w:rsidR="000768F4" w:rsidRDefault="000768F4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503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704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407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0768F4" w:rsidTr="00660965">
        <w:tc>
          <w:tcPr>
            <w:tcW w:w="7398" w:type="dxa"/>
          </w:tcPr>
          <w:p w:rsidR="000768F4" w:rsidRDefault="000768F4" w:rsidP="00076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Sales revenue </w:t>
            </w:r>
          </w:p>
        </w:tc>
        <w:tc>
          <w:tcPr>
            <w:tcW w:w="2178" w:type="dxa"/>
          </w:tcPr>
          <w:p w:rsidR="000768F4" w:rsidRDefault="000768F4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704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407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0768F4" w:rsidTr="00660965">
        <w:tc>
          <w:tcPr>
            <w:tcW w:w="7398" w:type="dxa"/>
          </w:tcPr>
          <w:p w:rsidR="000768F4" w:rsidRDefault="000768F4" w:rsidP="00076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Profit distribution in 2019 </w:t>
            </w:r>
          </w:p>
          <w:p w:rsidR="000768F4" w:rsidRDefault="000768F4" w:rsidP="00076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0768F4" w:rsidRDefault="000768F4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F4" w:rsidTr="00660965">
        <w:tc>
          <w:tcPr>
            <w:tcW w:w="7398" w:type="dxa"/>
          </w:tcPr>
          <w:p w:rsidR="000768F4" w:rsidRDefault="000768F4" w:rsidP="00680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80D27">
              <w:rPr>
                <w:rFonts w:ascii="Arial" w:hAnsi="Arial" w:cs="Arial"/>
                <w:sz w:val="20"/>
                <w:szCs w:val="20"/>
              </w:rPr>
              <w:t>Total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 profit before tax </w:t>
            </w:r>
          </w:p>
        </w:tc>
        <w:tc>
          <w:tcPr>
            <w:tcW w:w="2178" w:type="dxa"/>
          </w:tcPr>
          <w:p w:rsidR="000768F4" w:rsidRDefault="000768F4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3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395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244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</w:tr>
      <w:tr w:rsidR="000768F4" w:rsidTr="00660965">
        <w:tc>
          <w:tcPr>
            <w:tcW w:w="7398" w:type="dxa"/>
          </w:tcPr>
          <w:p w:rsidR="000768F4" w:rsidRDefault="000768F4" w:rsidP="00076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 xml:space="preserve">- Non-deductible </w:t>
            </w:r>
            <w:r>
              <w:rPr>
                <w:rFonts w:ascii="Arial" w:hAnsi="Arial" w:cs="Arial"/>
                <w:sz w:val="20"/>
                <w:szCs w:val="20"/>
              </w:rPr>
              <w:t>amount when determining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 CIT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0768F4" w:rsidRDefault="000768F4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2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176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561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0768F4" w:rsidTr="00660965">
        <w:tc>
          <w:tcPr>
            <w:tcW w:w="7398" w:type="dxa"/>
          </w:tcPr>
          <w:p w:rsidR="000768F4" w:rsidRDefault="000768F4" w:rsidP="00076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Remuneration for </w:t>
            </w:r>
            <w:r w:rsidRPr="00565D08"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of Board of Directors, Supervisory Board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 who do not participate in production </w:t>
            </w:r>
          </w:p>
        </w:tc>
        <w:tc>
          <w:tcPr>
            <w:tcW w:w="2178" w:type="dxa"/>
          </w:tcPr>
          <w:p w:rsidR="000768F4" w:rsidRDefault="000768F4" w:rsidP="00680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138</w:t>
            </w:r>
            <w:r w:rsidR="00680D27">
              <w:rPr>
                <w:rFonts w:ascii="Arial" w:hAnsi="Arial" w:cs="Arial"/>
                <w:sz w:val="20"/>
                <w:szCs w:val="20"/>
              </w:rPr>
              <w:t>,24</w:t>
            </w:r>
            <w:r w:rsidRPr="00565D08">
              <w:rPr>
                <w:rFonts w:ascii="Arial" w:hAnsi="Arial" w:cs="Arial"/>
                <w:sz w:val="20"/>
                <w:szCs w:val="20"/>
              </w:rPr>
              <w:t>0</w:t>
            </w:r>
            <w:r w:rsidR="00680D27"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768F4" w:rsidTr="00660965">
        <w:tc>
          <w:tcPr>
            <w:tcW w:w="7398" w:type="dxa"/>
          </w:tcPr>
          <w:p w:rsidR="000768F4" w:rsidRDefault="00680D27" w:rsidP="00680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 xml:space="preserve">+ Excessive loan interest according to Decree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565D08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0768F4" w:rsidTr="00660965">
        <w:tc>
          <w:tcPr>
            <w:tcW w:w="7398" w:type="dxa"/>
          </w:tcPr>
          <w:p w:rsidR="000768F4" w:rsidRDefault="00680D27" w:rsidP="00680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Profit subject to corporate income tax </w:t>
            </w:r>
          </w:p>
        </w:tc>
        <w:tc>
          <w:tcPr>
            <w:tcW w:w="217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805</w:t>
            </w:r>
            <w:r>
              <w:rPr>
                <w:rFonts w:ascii="Arial" w:hAnsi="Arial" w:cs="Arial"/>
                <w:sz w:val="20"/>
                <w:szCs w:val="20"/>
              </w:rPr>
              <w:t>,920</w:t>
            </w:r>
          </w:p>
        </w:tc>
      </w:tr>
      <w:tr w:rsidR="000768F4" w:rsidTr="00660965">
        <w:tc>
          <w:tcPr>
            <w:tcW w:w="7398" w:type="dxa"/>
          </w:tcPr>
          <w:p w:rsidR="000768F4" w:rsidRDefault="00680D27" w:rsidP="00680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Paying corporate income tax (20%) </w:t>
            </w:r>
          </w:p>
        </w:tc>
        <w:tc>
          <w:tcPr>
            <w:tcW w:w="217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565D08">
              <w:rPr>
                <w:rFonts w:ascii="Arial" w:hAnsi="Arial" w:cs="Arial"/>
                <w:sz w:val="20"/>
                <w:szCs w:val="20"/>
              </w:rPr>
              <w:t>361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0768F4" w:rsidTr="00660965">
        <w:tc>
          <w:tcPr>
            <w:tcW w:w="7398" w:type="dxa"/>
          </w:tcPr>
          <w:p w:rsidR="000768F4" w:rsidRDefault="00680D27" w:rsidP="00680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17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280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883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</w:tr>
      <w:tr w:rsidR="000768F4" w:rsidTr="00660965">
        <w:tc>
          <w:tcPr>
            <w:tcW w:w="7398" w:type="dxa"/>
          </w:tcPr>
          <w:p w:rsidR="000768F4" w:rsidRDefault="00680D27" w:rsidP="00680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istributed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rofit </w:t>
            </w:r>
          </w:p>
        </w:tc>
        <w:tc>
          <w:tcPr>
            <w:tcW w:w="217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280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883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</w:tr>
      <w:tr w:rsidR="000768F4" w:rsidTr="00660965">
        <w:tc>
          <w:tcPr>
            <w:tcW w:w="739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00565D08">
              <w:rPr>
                <w:rFonts w:ascii="Arial" w:hAnsi="Arial" w:cs="Arial"/>
                <w:sz w:val="20"/>
                <w:szCs w:val="20"/>
              </w:rPr>
              <w:t>Divi</w:t>
            </w:r>
            <w:r>
              <w:rPr>
                <w:rFonts w:ascii="Arial" w:hAnsi="Arial" w:cs="Arial"/>
                <w:sz w:val="20"/>
                <w:szCs w:val="20"/>
              </w:rPr>
              <w:t>dend payment (12% per year x 12,000,000,</w:t>
            </w:r>
            <w:r w:rsidRPr="00565D08">
              <w:rPr>
                <w:rFonts w:ascii="Arial" w:hAnsi="Arial" w:cs="Arial"/>
                <w:sz w:val="20"/>
                <w:szCs w:val="20"/>
              </w:rPr>
              <w:t>000)</w:t>
            </w:r>
          </w:p>
        </w:tc>
        <w:tc>
          <w:tcPr>
            <w:tcW w:w="217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768F4" w:rsidTr="00660965">
        <w:tc>
          <w:tcPr>
            <w:tcW w:w="7398" w:type="dxa"/>
          </w:tcPr>
          <w:p w:rsidR="000768F4" w:rsidRDefault="00680D27" w:rsidP="00680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The dividend for the 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shares</w:t>
            </w:r>
          </w:p>
        </w:tc>
        <w:tc>
          <w:tcPr>
            <w:tcW w:w="217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734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768F4" w:rsidTr="00660965">
        <w:tc>
          <w:tcPr>
            <w:tcW w:w="739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The dividend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common shares</w:t>
            </w:r>
          </w:p>
        </w:tc>
        <w:tc>
          <w:tcPr>
            <w:tcW w:w="217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705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768F4" w:rsidTr="00660965">
        <w:tc>
          <w:tcPr>
            <w:tcW w:w="739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  Deducti</w:t>
            </w:r>
            <w:r>
              <w:rPr>
                <w:rFonts w:ascii="Arial" w:hAnsi="Arial" w:cs="Arial"/>
                <w:sz w:val="20"/>
                <w:szCs w:val="20"/>
              </w:rPr>
              <w:t>on for reward and welfare funds</w:t>
            </w:r>
          </w:p>
        </w:tc>
        <w:tc>
          <w:tcPr>
            <w:tcW w:w="217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840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883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</w:tr>
      <w:tr w:rsidR="000768F4" w:rsidTr="00660965">
        <w:tc>
          <w:tcPr>
            <w:tcW w:w="7398" w:type="dxa"/>
          </w:tcPr>
          <w:p w:rsidR="000768F4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</w:t>
            </w:r>
          </w:p>
        </w:tc>
        <w:tc>
          <w:tcPr>
            <w:tcW w:w="2178" w:type="dxa"/>
          </w:tcPr>
          <w:p w:rsidR="000768F4" w:rsidRDefault="000768F4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D27" w:rsidTr="00660965">
        <w:tc>
          <w:tcPr>
            <w:tcW w:w="7398" w:type="dxa"/>
          </w:tcPr>
          <w:p w:rsidR="00680D27" w:rsidRDefault="00680D27" w:rsidP="00680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Reward fund VCQL</w:t>
            </w:r>
          </w:p>
        </w:tc>
        <w:tc>
          <w:tcPr>
            <w:tcW w:w="2178" w:type="dxa"/>
          </w:tcPr>
          <w:p w:rsidR="00680D27" w:rsidRDefault="00680D27" w:rsidP="00703A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158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80D27" w:rsidTr="00660965">
        <w:tc>
          <w:tcPr>
            <w:tcW w:w="7398" w:type="dxa"/>
          </w:tcPr>
          <w:p w:rsidR="00680D27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+ Bonus fund (40%)</w:t>
            </w:r>
          </w:p>
        </w:tc>
        <w:tc>
          <w:tcPr>
            <w:tcW w:w="2178" w:type="dxa"/>
          </w:tcPr>
          <w:p w:rsidR="00680D27" w:rsidRDefault="00EF7F0F" w:rsidP="00703A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273,146,406</w:t>
            </w:r>
          </w:p>
        </w:tc>
      </w:tr>
      <w:tr w:rsidR="00680D27" w:rsidTr="00660965">
        <w:tc>
          <w:tcPr>
            <w:tcW w:w="7398" w:type="dxa"/>
          </w:tcPr>
          <w:p w:rsidR="00680D27" w:rsidRDefault="00680D27" w:rsidP="00680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 Welfare fund (60%)</w:t>
            </w:r>
          </w:p>
        </w:tc>
        <w:tc>
          <w:tcPr>
            <w:tcW w:w="2178" w:type="dxa"/>
          </w:tcPr>
          <w:p w:rsidR="00680D27" w:rsidRDefault="00680D27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409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719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</w:tr>
    </w:tbl>
    <w:p w:rsidR="00EF7F0F" w:rsidRDefault="00EF7F0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Approve authorizing</w:t>
      </w:r>
      <w:r w:rsidR="00565D08" w:rsidRPr="00565D08">
        <w:rPr>
          <w:rFonts w:ascii="Arial" w:hAnsi="Arial" w:cs="Arial"/>
          <w:sz w:val="20"/>
          <w:szCs w:val="20"/>
        </w:rPr>
        <w:t xml:space="preserve"> the Board of Directors of the Company to select an independen</w:t>
      </w:r>
      <w:r>
        <w:rPr>
          <w:rFonts w:ascii="Arial" w:hAnsi="Arial" w:cs="Arial"/>
          <w:sz w:val="20"/>
          <w:szCs w:val="20"/>
        </w:rPr>
        <w:t>t auditor to audit the 2020 financial statements</w:t>
      </w:r>
    </w:p>
    <w:p w:rsidR="00EF7F0F" w:rsidRDefault="00EF7F0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65D08" w:rsidRPr="00565D08">
        <w:rPr>
          <w:rFonts w:ascii="Arial" w:hAnsi="Arial" w:cs="Arial"/>
          <w:sz w:val="20"/>
          <w:szCs w:val="20"/>
        </w:rPr>
        <w:t xml:space="preserve"> Approving the settlement of remuneration of the Board of Directors and the Supervisory Boar</w:t>
      </w:r>
      <w:r>
        <w:rPr>
          <w:rFonts w:ascii="Arial" w:hAnsi="Arial" w:cs="Arial"/>
          <w:sz w:val="20"/>
          <w:szCs w:val="20"/>
        </w:rPr>
        <w:t>d in 2019 and the remuneration plan for</w:t>
      </w:r>
      <w:r w:rsidR="00565D08" w:rsidRPr="00565D08">
        <w:rPr>
          <w:rFonts w:ascii="Arial" w:hAnsi="Arial" w:cs="Arial"/>
          <w:sz w:val="20"/>
          <w:szCs w:val="20"/>
        </w:rPr>
        <w:t xml:space="preserve"> the Board of Director</w:t>
      </w:r>
      <w:r>
        <w:rPr>
          <w:rFonts w:ascii="Arial" w:hAnsi="Arial" w:cs="Arial"/>
          <w:sz w:val="20"/>
          <w:szCs w:val="20"/>
        </w:rPr>
        <w:t>s and Supervisory Board in 2020</w:t>
      </w:r>
    </w:p>
    <w:p w:rsidR="00EF7F0F" w:rsidRDefault="00EF7F0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565D08">
        <w:rPr>
          <w:rFonts w:ascii="Arial" w:hAnsi="Arial" w:cs="Arial"/>
          <w:sz w:val="20"/>
          <w:szCs w:val="20"/>
        </w:rPr>
        <w:t>he settlement of remuneration of the Board of Directors and the Supervisory Boar</w:t>
      </w:r>
      <w:r>
        <w:rPr>
          <w:rFonts w:ascii="Arial" w:hAnsi="Arial" w:cs="Arial"/>
          <w:sz w:val="20"/>
          <w:szCs w:val="20"/>
        </w:rPr>
        <w:t>d in 2019</w:t>
      </w:r>
      <w:r w:rsidR="00660965">
        <w:rPr>
          <w:rFonts w:ascii="Arial" w:hAnsi="Arial" w:cs="Arial"/>
          <w:sz w:val="20"/>
          <w:szCs w:val="20"/>
        </w:rPr>
        <w:t xml:space="preserve">: </w:t>
      </w:r>
      <w:r w:rsidRPr="00565D08">
        <w:rPr>
          <w:rFonts w:ascii="Arial" w:hAnsi="Arial" w:cs="Arial"/>
          <w:sz w:val="20"/>
          <w:szCs w:val="20"/>
        </w:rPr>
        <w:t>VND</w:t>
      </w:r>
      <w:r w:rsidRPr="00565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307,320,</w:t>
      </w:r>
      <w:r w:rsidR="00565D08" w:rsidRPr="00565D08">
        <w:rPr>
          <w:rFonts w:ascii="Arial" w:hAnsi="Arial" w:cs="Arial"/>
          <w:sz w:val="20"/>
          <w:szCs w:val="20"/>
        </w:rPr>
        <w:t xml:space="preserve">000 in which: </w:t>
      </w:r>
    </w:p>
    <w:p w:rsidR="00EF7F0F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5D08">
        <w:rPr>
          <w:rFonts w:ascii="Arial" w:hAnsi="Arial" w:cs="Arial"/>
          <w:sz w:val="20"/>
          <w:szCs w:val="20"/>
        </w:rPr>
        <w:t xml:space="preserve">- </w:t>
      </w:r>
      <w:r w:rsidR="00EF7F0F">
        <w:rPr>
          <w:rFonts w:ascii="Arial" w:hAnsi="Arial" w:cs="Arial"/>
          <w:sz w:val="20"/>
          <w:szCs w:val="20"/>
        </w:rPr>
        <w:t>Remuneration for the Board of Directors:</w:t>
      </w:r>
      <w:r w:rsidRPr="00565D08">
        <w:rPr>
          <w:rFonts w:ascii="Arial" w:hAnsi="Arial" w:cs="Arial"/>
          <w:sz w:val="20"/>
          <w:szCs w:val="20"/>
        </w:rPr>
        <w:t xml:space="preserve"> </w:t>
      </w:r>
      <w:r w:rsidR="00EF7F0F" w:rsidRPr="00565D08">
        <w:rPr>
          <w:rFonts w:ascii="Arial" w:hAnsi="Arial" w:cs="Arial"/>
          <w:sz w:val="20"/>
          <w:szCs w:val="20"/>
        </w:rPr>
        <w:t>VND</w:t>
      </w:r>
      <w:r w:rsidR="00EF7F0F" w:rsidRPr="00565D08">
        <w:rPr>
          <w:rFonts w:ascii="Arial" w:hAnsi="Arial" w:cs="Arial"/>
          <w:sz w:val="20"/>
          <w:szCs w:val="20"/>
        </w:rPr>
        <w:t xml:space="preserve"> </w:t>
      </w:r>
      <w:r w:rsidRPr="00565D08">
        <w:rPr>
          <w:rFonts w:ascii="Arial" w:hAnsi="Arial" w:cs="Arial"/>
          <w:sz w:val="20"/>
          <w:szCs w:val="20"/>
        </w:rPr>
        <w:t>233</w:t>
      </w:r>
      <w:r w:rsidR="00EF7F0F">
        <w:rPr>
          <w:rFonts w:ascii="Arial" w:hAnsi="Arial" w:cs="Arial"/>
          <w:sz w:val="20"/>
          <w:szCs w:val="20"/>
        </w:rPr>
        <w:t>,</w:t>
      </w:r>
      <w:r w:rsidRPr="00565D08">
        <w:rPr>
          <w:rFonts w:ascii="Arial" w:hAnsi="Arial" w:cs="Arial"/>
          <w:sz w:val="20"/>
          <w:szCs w:val="20"/>
        </w:rPr>
        <w:t>280</w:t>
      </w:r>
      <w:r w:rsidR="00EF7F0F">
        <w:rPr>
          <w:rFonts w:ascii="Arial" w:hAnsi="Arial" w:cs="Arial"/>
          <w:sz w:val="20"/>
          <w:szCs w:val="20"/>
        </w:rPr>
        <w:t>,</w:t>
      </w:r>
      <w:r w:rsidRPr="00565D08">
        <w:rPr>
          <w:rFonts w:ascii="Arial" w:hAnsi="Arial" w:cs="Arial"/>
          <w:sz w:val="20"/>
          <w:szCs w:val="20"/>
        </w:rPr>
        <w:t>000</w:t>
      </w:r>
      <w:bookmarkStart w:id="0" w:name="_GoBack"/>
      <w:bookmarkEnd w:id="0"/>
    </w:p>
    <w:p w:rsidR="00EF7F0F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5D08">
        <w:rPr>
          <w:rFonts w:ascii="Arial" w:hAnsi="Arial" w:cs="Arial"/>
          <w:sz w:val="20"/>
          <w:szCs w:val="20"/>
        </w:rPr>
        <w:t xml:space="preserve">- </w:t>
      </w:r>
      <w:r w:rsidR="00EF7F0F">
        <w:rPr>
          <w:rFonts w:ascii="Arial" w:hAnsi="Arial" w:cs="Arial"/>
          <w:sz w:val="20"/>
          <w:szCs w:val="20"/>
        </w:rPr>
        <w:t xml:space="preserve">Remuneration for the </w:t>
      </w:r>
      <w:r w:rsidRPr="00565D08">
        <w:rPr>
          <w:rFonts w:ascii="Arial" w:hAnsi="Arial" w:cs="Arial"/>
          <w:sz w:val="20"/>
          <w:szCs w:val="20"/>
        </w:rPr>
        <w:t>Supervisory Board</w:t>
      </w:r>
      <w:r w:rsidR="00EF7F0F">
        <w:rPr>
          <w:rFonts w:ascii="Arial" w:hAnsi="Arial" w:cs="Arial"/>
          <w:sz w:val="20"/>
          <w:szCs w:val="20"/>
        </w:rPr>
        <w:t>:</w:t>
      </w:r>
      <w:r w:rsidRPr="00565D08">
        <w:rPr>
          <w:rFonts w:ascii="Arial" w:hAnsi="Arial" w:cs="Arial"/>
          <w:sz w:val="20"/>
          <w:szCs w:val="20"/>
        </w:rPr>
        <w:t xml:space="preserve"> </w:t>
      </w:r>
      <w:r w:rsidR="00EF7F0F" w:rsidRPr="00565D08">
        <w:rPr>
          <w:rFonts w:ascii="Arial" w:hAnsi="Arial" w:cs="Arial"/>
          <w:sz w:val="20"/>
          <w:szCs w:val="20"/>
        </w:rPr>
        <w:t>VND</w:t>
      </w:r>
      <w:r w:rsidR="00EF7F0F" w:rsidRPr="00565D08">
        <w:rPr>
          <w:rFonts w:ascii="Arial" w:hAnsi="Arial" w:cs="Arial"/>
          <w:sz w:val="20"/>
          <w:szCs w:val="20"/>
        </w:rPr>
        <w:t xml:space="preserve"> </w:t>
      </w:r>
      <w:r w:rsidRPr="00565D08">
        <w:rPr>
          <w:rFonts w:ascii="Arial" w:hAnsi="Arial" w:cs="Arial"/>
          <w:sz w:val="20"/>
          <w:szCs w:val="20"/>
        </w:rPr>
        <w:t>82</w:t>
      </w:r>
      <w:r w:rsidR="00EF7F0F">
        <w:rPr>
          <w:rFonts w:ascii="Arial" w:hAnsi="Arial" w:cs="Arial"/>
          <w:sz w:val="20"/>
          <w:szCs w:val="20"/>
        </w:rPr>
        <w:t>,</w:t>
      </w:r>
      <w:r w:rsidRPr="00565D08">
        <w:rPr>
          <w:rFonts w:ascii="Arial" w:hAnsi="Arial" w:cs="Arial"/>
          <w:sz w:val="20"/>
          <w:szCs w:val="20"/>
        </w:rPr>
        <w:t>080</w:t>
      </w:r>
      <w:r w:rsidR="00EF7F0F">
        <w:rPr>
          <w:rFonts w:ascii="Arial" w:hAnsi="Arial" w:cs="Arial"/>
          <w:sz w:val="20"/>
          <w:szCs w:val="20"/>
        </w:rPr>
        <w:t>,</w:t>
      </w:r>
      <w:r w:rsidRPr="00565D08">
        <w:rPr>
          <w:rFonts w:ascii="Arial" w:hAnsi="Arial" w:cs="Arial"/>
          <w:sz w:val="20"/>
          <w:szCs w:val="20"/>
        </w:rPr>
        <w:t>000</w:t>
      </w:r>
    </w:p>
    <w:p w:rsidR="00EF7F0F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5D08">
        <w:rPr>
          <w:rFonts w:ascii="Arial" w:hAnsi="Arial" w:cs="Arial"/>
          <w:sz w:val="20"/>
          <w:szCs w:val="20"/>
        </w:rPr>
        <w:t xml:space="preserve">- </w:t>
      </w:r>
      <w:r w:rsidR="00EF7F0F">
        <w:rPr>
          <w:rFonts w:ascii="Arial" w:hAnsi="Arial" w:cs="Arial"/>
          <w:sz w:val="20"/>
          <w:szCs w:val="20"/>
        </w:rPr>
        <w:t>Settlement of remuneration for</w:t>
      </w:r>
      <w:r w:rsidRPr="00565D08">
        <w:rPr>
          <w:rFonts w:ascii="Arial" w:hAnsi="Arial" w:cs="Arial"/>
          <w:sz w:val="20"/>
          <w:szCs w:val="20"/>
        </w:rPr>
        <w:t xml:space="preserve"> full-time </w:t>
      </w:r>
      <w:r w:rsidR="00EF7F0F">
        <w:rPr>
          <w:rFonts w:ascii="Arial" w:hAnsi="Arial" w:cs="Arial"/>
          <w:sz w:val="20"/>
          <w:szCs w:val="20"/>
        </w:rPr>
        <w:t xml:space="preserve">head of </w:t>
      </w:r>
      <w:r w:rsidRPr="00565D08">
        <w:rPr>
          <w:rFonts w:ascii="Arial" w:hAnsi="Arial" w:cs="Arial"/>
          <w:sz w:val="20"/>
          <w:szCs w:val="20"/>
        </w:rPr>
        <w:t xml:space="preserve">Supervisory Board: </w:t>
      </w:r>
      <w:r w:rsidR="00EF7F0F">
        <w:rPr>
          <w:rFonts w:ascii="Arial" w:hAnsi="Arial" w:cs="Arial"/>
          <w:sz w:val="20"/>
          <w:szCs w:val="20"/>
        </w:rPr>
        <w:t xml:space="preserve">VND </w:t>
      </w:r>
      <w:r w:rsidRPr="00565D08">
        <w:rPr>
          <w:rFonts w:ascii="Arial" w:hAnsi="Arial" w:cs="Arial"/>
          <w:sz w:val="20"/>
          <w:szCs w:val="20"/>
        </w:rPr>
        <w:t>275</w:t>
      </w:r>
      <w:r w:rsidR="00EF7F0F">
        <w:rPr>
          <w:rFonts w:ascii="Arial" w:hAnsi="Arial" w:cs="Arial"/>
          <w:sz w:val="20"/>
          <w:szCs w:val="20"/>
        </w:rPr>
        <w:t>,</w:t>
      </w:r>
      <w:r w:rsidRPr="00565D08">
        <w:rPr>
          <w:rFonts w:ascii="Arial" w:hAnsi="Arial" w:cs="Arial"/>
          <w:sz w:val="20"/>
          <w:szCs w:val="20"/>
        </w:rPr>
        <w:t>467</w:t>
      </w:r>
      <w:r w:rsidR="00EF7F0F">
        <w:rPr>
          <w:rFonts w:ascii="Arial" w:hAnsi="Arial" w:cs="Arial"/>
          <w:sz w:val="20"/>
          <w:szCs w:val="20"/>
        </w:rPr>
        <w:t>,</w:t>
      </w:r>
      <w:r w:rsidRPr="00565D08">
        <w:rPr>
          <w:rFonts w:ascii="Arial" w:hAnsi="Arial" w:cs="Arial"/>
          <w:sz w:val="20"/>
          <w:szCs w:val="20"/>
        </w:rPr>
        <w:t>500</w:t>
      </w:r>
    </w:p>
    <w:p w:rsidR="00EF7F0F" w:rsidRDefault="00EF7F0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</w:t>
      </w:r>
      <w:r w:rsidR="00565D08" w:rsidRPr="00565D08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 xml:space="preserve"> on remuneration</w:t>
      </w:r>
      <w:r w:rsidR="00565D08" w:rsidRPr="00565D08">
        <w:rPr>
          <w:rFonts w:ascii="Arial" w:hAnsi="Arial" w:cs="Arial"/>
          <w:sz w:val="20"/>
          <w:szCs w:val="20"/>
        </w:rPr>
        <w:t xml:space="preserve"> for the Board of Directors and the Board of Supervisors in 2020: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340"/>
        <w:gridCol w:w="1440"/>
        <w:gridCol w:w="1998"/>
      </w:tblGrid>
      <w:tr w:rsidR="00EF7F0F" w:rsidTr="00EF7F0F">
        <w:tc>
          <w:tcPr>
            <w:tcW w:w="3798" w:type="dxa"/>
          </w:tcPr>
          <w:p w:rsidR="00EF7F0F" w:rsidRDefault="00EF7F0F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340" w:type="dxa"/>
          </w:tcPr>
          <w:p w:rsidR="00EF7F0F" w:rsidRDefault="00EF7F0F" w:rsidP="00EF7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Salary</w:t>
            </w:r>
            <w:r w:rsidRPr="00565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for taking remuneration </w:t>
            </w:r>
          </w:p>
        </w:tc>
        <w:tc>
          <w:tcPr>
            <w:tcW w:w="1440" w:type="dxa"/>
          </w:tcPr>
          <w:p w:rsidR="00EF7F0F" w:rsidRDefault="00EF7F0F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  <w:tc>
          <w:tcPr>
            <w:tcW w:w="1998" w:type="dxa"/>
          </w:tcPr>
          <w:p w:rsidR="00EF7F0F" w:rsidRDefault="00EF7F0F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Rounded </w:t>
            </w:r>
            <w:r w:rsidRPr="00565D08">
              <w:rPr>
                <w:rFonts w:ascii="Arial" w:hAnsi="Arial" w:cs="Arial"/>
                <w:sz w:val="20"/>
                <w:szCs w:val="20"/>
              </w:rPr>
              <w:t>monthly remuneration</w:t>
            </w:r>
          </w:p>
        </w:tc>
      </w:tr>
      <w:tr w:rsidR="00EF7F0F" w:rsidTr="00EF7F0F">
        <w:tc>
          <w:tcPr>
            <w:tcW w:w="3798" w:type="dxa"/>
          </w:tcPr>
          <w:p w:rsidR="00EF7F0F" w:rsidRDefault="00EF7F0F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Chairman of the Board of Directors</w:t>
            </w:r>
          </w:p>
        </w:tc>
        <w:tc>
          <w:tcPr>
            <w:tcW w:w="2340" w:type="dxa"/>
          </w:tcPr>
          <w:p w:rsidR="00EF7F0F" w:rsidRDefault="00EF7F0F" w:rsidP="00EF7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VND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D0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EF7F0F" w:rsidRDefault="00EF7F0F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998" w:type="dxa"/>
          </w:tcPr>
          <w:p w:rsidR="00EF7F0F" w:rsidRDefault="00EF7F0F" w:rsidP="00EF7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VND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D0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EF7F0F" w:rsidTr="00EF7F0F">
        <w:tc>
          <w:tcPr>
            <w:tcW w:w="3798" w:type="dxa"/>
          </w:tcPr>
          <w:p w:rsidR="00EF7F0F" w:rsidRDefault="00EF7F0F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Member of the Board of Directors</w:t>
            </w:r>
          </w:p>
        </w:tc>
        <w:tc>
          <w:tcPr>
            <w:tcW w:w="2340" w:type="dxa"/>
          </w:tcPr>
          <w:p w:rsidR="00EF7F0F" w:rsidRDefault="00EF7F0F" w:rsidP="00EF7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VND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D0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900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EF7F0F" w:rsidRDefault="00EF7F0F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998" w:type="dxa"/>
          </w:tcPr>
          <w:p w:rsidR="00EF7F0F" w:rsidRDefault="00EF7F0F" w:rsidP="00EF7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VND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D0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780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F0F" w:rsidTr="00EF7F0F">
        <w:tc>
          <w:tcPr>
            <w:tcW w:w="3798" w:type="dxa"/>
          </w:tcPr>
          <w:p w:rsidR="00EF7F0F" w:rsidRDefault="00EF7F0F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Members of the Supervisory Board</w:t>
            </w:r>
          </w:p>
        </w:tc>
        <w:tc>
          <w:tcPr>
            <w:tcW w:w="2340" w:type="dxa"/>
          </w:tcPr>
          <w:p w:rsidR="00EF7F0F" w:rsidRDefault="00EF7F0F" w:rsidP="00EF7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VND </w:t>
            </w:r>
            <w:r w:rsidRPr="00565D08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EF7F0F" w:rsidRDefault="00EF7F0F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08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998" w:type="dxa"/>
          </w:tcPr>
          <w:p w:rsidR="00EF7F0F" w:rsidRDefault="00EF7F0F" w:rsidP="007E7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VND </w:t>
            </w:r>
            <w:r w:rsidRPr="00565D0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420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5D0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EF7F0F" w:rsidRDefault="00EF7F0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7F0F" w:rsidRDefault="00EF7F0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Plan on</w:t>
      </w:r>
      <w:r w:rsidR="00565D08" w:rsidRPr="00565D08">
        <w:rPr>
          <w:rFonts w:ascii="Arial" w:hAnsi="Arial" w:cs="Arial"/>
          <w:sz w:val="20"/>
          <w:szCs w:val="20"/>
        </w:rPr>
        <w:t xml:space="preserve"> Remuneration for the</w:t>
      </w:r>
      <w:r>
        <w:rPr>
          <w:rFonts w:ascii="Arial" w:hAnsi="Arial" w:cs="Arial"/>
          <w:sz w:val="20"/>
          <w:szCs w:val="20"/>
        </w:rPr>
        <w:t xml:space="preserve"> full time</w:t>
      </w:r>
      <w:r w:rsidR="00565D08" w:rsidRPr="00565D08">
        <w:rPr>
          <w:rFonts w:ascii="Arial" w:hAnsi="Arial" w:cs="Arial"/>
          <w:sz w:val="20"/>
          <w:szCs w:val="20"/>
        </w:rPr>
        <w:t xml:space="preserve"> Head of Supervisory Board in 2020: </w:t>
      </w:r>
    </w:p>
    <w:p w:rsidR="00EF7F0F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5D08">
        <w:rPr>
          <w:rFonts w:ascii="Arial" w:hAnsi="Arial" w:cs="Arial"/>
          <w:sz w:val="20"/>
          <w:szCs w:val="20"/>
        </w:rPr>
        <w:t>Head of Supervisory Board</w:t>
      </w:r>
      <w:r w:rsidR="00EF7F0F">
        <w:rPr>
          <w:rFonts w:ascii="Arial" w:hAnsi="Arial" w:cs="Arial"/>
          <w:sz w:val="20"/>
          <w:szCs w:val="20"/>
        </w:rPr>
        <w:t>:</w:t>
      </w:r>
      <w:r w:rsidRPr="00565D08">
        <w:rPr>
          <w:rFonts w:ascii="Arial" w:hAnsi="Arial" w:cs="Arial"/>
          <w:sz w:val="20"/>
          <w:szCs w:val="20"/>
        </w:rPr>
        <w:t xml:space="preserve"> </w:t>
      </w:r>
      <w:r w:rsidR="00EF7F0F">
        <w:rPr>
          <w:rFonts w:ascii="Arial" w:hAnsi="Arial" w:cs="Arial"/>
          <w:sz w:val="20"/>
          <w:szCs w:val="20"/>
        </w:rPr>
        <w:t>VND 19,</w:t>
      </w:r>
      <w:r w:rsidRPr="00565D08">
        <w:rPr>
          <w:rFonts w:ascii="Arial" w:hAnsi="Arial" w:cs="Arial"/>
          <w:sz w:val="20"/>
          <w:szCs w:val="20"/>
        </w:rPr>
        <w:t>90</w:t>
      </w:r>
      <w:r w:rsidR="00EF7F0F">
        <w:rPr>
          <w:rFonts w:ascii="Arial" w:hAnsi="Arial" w:cs="Arial"/>
          <w:sz w:val="20"/>
          <w:szCs w:val="20"/>
        </w:rPr>
        <w:t>0,</w:t>
      </w:r>
      <w:r w:rsidRPr="00565D08">
        <w:rPr>
          <w:rFonts w:ascii="Arial" w:hAnsi="Arial" w:cs="Arial"/>
          <w:sz w:val="20"/>
          <w:szCs w:val="20"/>
        </w:rPr>
        <w:t xml:space="preserve">000 </w:t>
      </w:r>
    </w:p>
    <w:p w:rsidR="00EF7F0F" w:rsidRDefault="00EF7F0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Approve</w:t>
      </w:r>
      <w:r w:rsidR="00565D08" w:rsidRPr="00565D08">
        <w:rPr>
          <w:rFonts w:ascii="Arial" w:hAnsi="Arial" w:cs="Arial"/>
          <w:sz w:val="20"/>
          <w:szCs w:val="20"/>
        </w:rPr>
        <w:t xml:space="preserve"> election of members of the Board of Directors and the Supervisory Board for the term </w:t>
      </w:r>
      <w:r>
        <w:rPr>
          <w:rFonts w:ascii="Arial" w:hAnsi="Arial" w:cs="Arial"/>
          <w:sz w:val="20"/>
          <w:szCs w:val="20"/>
        </w:rPr>
        <w:t>of 2020 – 2025</w:t>
      </w:r>
    </w:p>
    <w:p w:rsidR="00660965" w:rsidRDefault="00EF7F0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6.</w:t>
      </w:r>
      <w:r w:rsidR="00660965">
        <w:rPr>
          <w:rFonts w:ascii="Arial" w:hAnsi="Arial" w:cs="Arial"/>
          <w:sz w:val="20"/>
          <w:szCs w:val="20"/>
        </w:rPr>
        <w:t>1 Result of electing</w:t>
      </w:r>
      <w:r w:rsidR="00565D08" w:rsidRPr="00565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565D08" w:rsidRPr="00565D08">
        <w:rPr>
          <w:rFonts w:ascii="Arial" w:hAnsi="Arial" w:cs="Arial"/>
          <w:sz w:val="20"/>
          <w:szCs w:val="20"/>
        </w:rPr>
        <w:t>ember</w:t>
      </w:r>
      <w:r w:rsidR="00660965">
        <w:rPr>
          <w:rFonts w:ascii="Arial" w:hAnsi="Arial" w:cs="Arial"/>
          <w:sz w:val="20"/>
          <w:szCs w:val="20"/>
        </w:rPr>
        <w:t>s</w:t>
      </w:r>
      <w:r w:rsidR="00565D08" w:rsidRPr="00565D08">
        <w:rPr>
          <w:rFonts w:ascii="Arial" w:hAnsi="Arial" w:cs="Arial"/>
          <w:sz w:val="20"/>
          <w:szCs w:val="20"/>
        </w:rPr>
        <w:t xml:space="preserve"> of the Board of Directors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65D08" w:rsidRPr="00565D08">
        <w:rPr>
          <w:rFonts w:ascii="Arial" w:hAnsi="Arial" w:cs="Arial"/>
          <w:sz w:val="20"/>
          <w:szCs w:val="20"/>
        </w:rPr>
        <w:t xml:space="preserve">Mr. Do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Huy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Hung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65D08" w:rsidRPr="00565D08">
        <w:rPr>
          <w:rFonts w:ascii="Arial" w:hAnsi="Arial" w:cs="Arial"/>
          <w:sz w:val="20"/>
          <w:szCs w:val="20"/>
        </w:rPr>
        <w:t xml:space="preserve">Mr. Nguyen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Manh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65D08" w:rsidRPr="00565D08">
        <w:rPr>
          <w:rFonts w:ascii="Arial" w:hAnsi="Arial" w:cs="Arial"/>
          <w:sz w:val="20"/>
          <w:szCs w:val="20"/>
        </w:rPr>
        <w:t xml:space="preserve">Ms. Le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Thi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Minh Ha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65D08" w:rsidRPr="00565D08">
        <w:rPr>
          <w:rFonts w:ascii="Arial" w:hAnsi="Arial" w:cs="Arial"/>
          <w:sz w:val="20"/>
          <w:szCs w:val="20"/>
        </w:rPr>
        <w:t xml:space="preserve">Mr. Pham Cong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Loc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</w:t>
      </w:r>
      <w:r w:rsidR="00565D08" w:rsidRPr="00565D08">
        <w:rPr>
          <w:rFonts w:ascii="Arial" w:hAnsi="Arial" w:cs="Arial"/>
          <w:sz w:val="20"/>
          <w:szCs w:val="20"/>
        </w:rPr>
        <w:t xml:space="preserve">Nguyen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Huu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Toan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6.2 Results of electing</w:t>
      </w:r>
      <w:r w:rsidR="00565D08" w:rsidRPr="00565D08">
        <w:rPr>
          <w:rFonts w:ascii="Arial" w:hAnsi="Arial" w:cs="Arial"/>
          <w:sz w:val="20"/>
          <w:szCs w:val="20"/>
        </w:rPr>
        <w:t xml:space="preserve"> </w:t>
      </w:r>
      <w:r w:rsidRPr="00565D08"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>s of</w:t>
      </w:r>
      <w:r w:rsidRPr="00565D08">
        <w:rPr>
          <w:rFonts w:ascii="Arial" w:hAnsi="Arial" w:cs="Arial"/>
          <w:sz w:val="20"/>
          <w:szCs w:val="20"/>
        </w:rPr>
        <w:t xml:space="preserve"> </w:t>
      </w:r>
      <w:r w:rsidR="00565D08" w:rsidRPr="00565D08">
        <w:rPr>
          <w:rFonts w:ascii="Arial" w:hAnsi="Arial" w:cs="Arial"/>
          <w:sz w:val="20"/>
          <w:szCs w:val="20"/>
        </w:rPr>
        <w:t xml:space="preserve">Supervisory Board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65D08" w:rsidRPr="00565D08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Dinh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Thi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Thanh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Ha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</w:t>
      </w:r>
      <w:r w:rsidR="00565D08" w:rsidRPr="00565D08">
        <w:rPr>
          <w:rFonts w:ascii="Arial" w:hAnsi="Arial" w:cs="Arial"/>
          <w:sz w:val="20"/>
          <w:szCs w:val="20"/>
        </w:rPr>
        <w:t xml:space="preserve">Pham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Dinh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Tuan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Ms.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Phung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Thi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Lan</w:t>
      </w:r>
      <w:proofErr w:type="spellEnd"/>
      <w:proofErr w:type="gramEnd"/>
      <w:r w:rsidR="00565D08" w:rsidRPr="00565D08">
        <w:rPr>
          <w:rFonts w:ascii="Arial" w:hAnsi="Arial" w:cs="Arial"/>
          <w:sz w:val="20"/>
          <w:szCs w:val="20"/>
        </w:rPr>
        <w:t xml:space="preserve">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 </w:t>
      </w:r>
      <w:r w:rsidR="00565D08" w:rsidRPr="00565D08">
        <w:rPr>
          <w:rFonts w:ascii="Arial" w:hAnsi="Arial" w:cs="Arial"/>
          <w:sz w:val="20"/>
          <w:szCs w:val="20"/>
        </w:rPr>
        <w:t xml:space="preserve">Results of </w:t>
      </w:r>
      <w:r>
        <w:rPr>
          <w:rFonts w:ascii="Arial" w:hAnsi="Arial" w:cs="Arial"/>
          <w:sz w:val="20"/>
          <w:szCs w:val="20"/>
        </w:rPr>
        <w:t xml:space="preserve">electing </w:t>
      </w:r>
      <w:r w:rsidR="00565D08" w:rsidRPr="00565D08">
        <w:rPr>
          <w:rFonts w:ascii="Arial" w:hAnsi="Arial" w:cs="Arial"/>
          <w:sz w:val="20"/>
          <w:szCs w:val="20"/>
        </w:rPr>
        <w:t xml:space="preserve">title of Chairman of the Board of Directors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565D08" w:rsidRPr="00565D08">
        <w:rPr>
          <w:rFonts w:ascii="Arial" w:hAnsi="Arial" w:cs="Arial"/>
          <w:sz w:val="20"/>
          <w:szCs w:val="20"/>
        </w:rPr>
        <w:t xml:space="preserve">2020 - 2025: </w:t>
      </w:r>
    </w:p>
    <w:p w:rsidR="00660965" w:rsidRDefault="00565D08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5D08">
        <w:rPr>
          <w:rFonts w:ascii="Arial" w:hAnsi="Arial" w:cs="Arial"/>
          <w:sz w:val="20"/>
          <w:szCs w:val="20"/>
        </w:rPr>
        <w:t xml:space="preserve">- Mr. Do </w:t>
      </w:r>
      <w:proofErr w:type="spellStart"/>
      <w:r w:rsidRPr="00565D08">
        <w:rPr>
          <w:rFonts w:ascii="Arial" w:hAnsi="Arial" w:cs="Arial"/>
          <w:sz w:val="20"/>
          <w:szCs w:val="20"/>
        </w:rPr>
        <w:t>Huy</w:t>
      </w:r>
      <w:proofErr w:type="spellEnd"/>
      <w:r w:rsidRPr="00565D08">
        <w:rPr>
          <w:rFonts w:ascii="Arial" w:hAnsi="Arial" w:cs="Arial"/>
          <w:sz w:val="20"/>
          <w:szCs w:val="20"/>
        </w:rPr>
        <w:t xml:space="preserve"> Hung - Member of the Board of Directors </w:t>
      </w:r>
      <w:r w:rsidR="00660965">
        <w:rPr>
          <w:rFonts w:ascii="Arial" w:hAnsi="Arial" w:cs="Arial"/>
          <w:sz w:val="20"/>
          <w:szCs w:val="20"/>
        </w:rPr>
        <w:t xml:space="preserve">is </w:t>
      </w:r>
      <w:r w:rsidRPr="00565D08">
        <w:rPr>
          <w:rFonts w:ascii="Arial" w:hAnsi="Arial" w:cs="Arial"/>
          <w:sz w:val="20"/>
          <w:szCs w:val="20"/>
        </w:rPr>
        <w:t>elected to the position of Chairman of the Board of Direct</w:t>
      </w:r>
      <w:r w:rsidR="00660965">
        <w:rPr>
          <w:rFonts w:ascii="Arial" w:hAnsi="Arial" w:cs="Arial"/>
          <w:sz w:val="20"/>
          <w:szCs w:val="20"/>
        </w:rPr>
        <w:t>ors for the term of 2020 – 2025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6.</w:t>
      </w:r>
      <w:r w:rsidR="00565D08" w:rsidRPr="00565D08">
        <w:rPr>
          <w:rFonts w:ascii="Arial" w:hAnsi="Arial" w:cs="Arial"/>
          <w:sz w:val="20"/>
          <w:szCs w:val="20"/>
        </w:rPr>
        <w:t xml:space="preserve">4 Results of the election of the </w:t>
      </w:r>
      <w:r>
        <w:rPr>
          <w:rFonts w:ascii="Arial" w:hAnsi="Arial" w:cs="Arial"/>
          <w:sz w:val="20"/>
          <w:szCs w:val="20"/>
        </w:rPr>
        <w:t>Supervisory Board</w:t>
      </w:r>
      <w:r w:rsidR="00565D08" w:rsidRPr="00565D08">
        <w:rPr>
          <w:rFonts w:ascii="Arial" w:hAnsi="Arial" w:cs="Arial"/>
          <w:sz w:val="20"/>
          <w:szCs w:val="20"/>
        </w:rPr>
        <w:t xml:space="preserve"> of the company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565D08" w:rsidRPr="00565D08">
        <w:rPr>
          <w:rFonts w:ascii="Arial" w:hAnsi="Arial" w:cs="Arial"/>
          <w:sz w:val="20"/>
          <w:szCs w:val="20"/>
        </w:rPr>
        <w:t xml:space="preserve">2020 - 2025: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Ms.</w:t>
      </w:r>
      <w:r w:rsidR="00565D08" w:rsidRPr="00565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Dinh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Thi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5D08" w:rsidRPr="00565D08">
        <w:rPr>
          <w:rFonts w:ascii="Arial" w:hAnsi="Arial" w:cs="Arial"/>
          <w:sz w:val="20"/>
          <w:szCs w:val="20"/>
        </w:rPr>
        <w:t>Thanh</w:t>
      </w:r>
      <w:proofErr w:type="spellEnd"/>
      <w:r w:rsidR="00565D08" w:rsidRPr="00565D08">
        <w:rPr>
          <w:rFonts w:ascii="Arial" w:hAnsi="Arial" w:cs="Arial"/>
          <w:sz w:val="20"/>
          <w:szCs w:val="20"/>
        </w:rPr>
        <w:t xml:space="preserve"> Ha - Member of the Supervisory Board is elected as the Head of the </w:t>
      </w:r>
      <w:r>
        <w:rPr>
          <w:rFonts w:ascii="Arial" w:hAnsi="Arial" w:cs="Arial"/>
          <w:sz w:val="20"/>
          <w:szCs w:val="20"/>
        </w:rPr>
        <w:t>Supervisory Board</w:t>
      </w:r>
      <w:r w:rsidR="00565D08" w:rsidRPr="00565D08">
        <w:rPr>
          <w:rFonts w:ascii="Arial" w:hAnsi="Arial" w:cs="Arial"/>
          <w:sz w:val="20"/>
          <w:szCs w:val="20"/>
        </w:rPr>
        <w:t xml:space="preserve"> of the company for the term </w:t>
      </w:r>
      <w:r>
        <w:rPr>
          <w:rFonts w:ascii="Arial" w:hAnsi="Arial" w:cs="Arial"/>
          <w:sz w:val="20"/>
          <w:szCs w:val="20"/>
        </w:rPr>
        <w:t>of 2020 – 2025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565D08" w:rsidRPr="00565D08">
        <w:rPr>
          <w:rFonts w:ascii="Arial" w:hAnsi="Arial" w:cs="Arial"/>
          <w:sz w:val="20"/>
          <w:szCs w:val="20"/>
        </w:rPr>
        <w:t xml:space="preserve">Organization of implementation </w:t>
      </w:r>
    </w:p>
    <w:p w:rsidR="00660965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="00565D08" w:rsidRPr="00565D08">
        <w:rPr>
          <w:rFonts w:ascii="Arial" w:hAnsi="Arial" w:cs="Arial"/>
          <w:sz w:val="20"/>
          <w:szCs w:val="20"/>
        </w:rPr>
        <w:t>The General Meeting of Sharehol</w:t>
      </w:r>
      <w:r>
        <w:rPr>
          <w:rFonts w:ascii="Arial" w:hAnsi="Arial" w:cs="Arial"/>
          <w:sz w:val="20"/>
          <w:szCs w:val="20"/>
        </w:rPr>
        <w:t>ders authorized</w:t>
      </w:r>
      <w:r w:rsidR="00565D08" w:rsidRPr="00565D08">
        <w:rPr>
          <w:rFonts w:ascii="Arial" w:hAnsi="Arial" w:cs="Arial"/>
          <w:sz w:val="20"/>
          <w:szCs w:val="20"/>
        </w:rPr>
        <w:t xml:space="preserve"> the Board of Directors of the Company to base on the annual business and production plan to operate the production and business plan for the entire t</w:t>
      </w:r>
      <w:r>
        <w:rPr>
          <w:rFonts w:ascii="Arial" w:hAnsi="Arial" w:cs="Arial"/>
          <w:sz w:val="20"/>
          <w:szCs w:val="20"/>
        </w:rPr>
        <w:t>erm with the highest efficiency</w:t>
      </w:r>
    </w:p>
    <w:p w:rsidR="00565D08" w:rsidRDefault="00660965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65D08" w:rsidRPr="00565D08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General Mandate</w:t>
      </w:r>
      <w:r w:rsidR="00565D08" w:rsidRPr="00565D08">
        <w:rPr>
          <w:rFonts w:ascii="Arial" w:hAnsi="Arial" w:cs="Arial"/>
          <w:sz w:val="20"/>
          <w:szCs w:val="20"/>
        </w:rPr>
        <w:t xml:space="preserve"> takes effect from the date of the ce</w:t>
      </w:r>
      <w:r>
        <w:rPr>
          <w:rFonts w:ascii="Arial" w:hAnsi="Arial" w:cs="Arial"/>
          <w:sz w:val="20"/>
          <w:szCs w:val="20"/>
        </w:rPr>
        <w:t xml:space="preserve">ntury. </w:t>
      </w:r>
      <w:r w:rsidR="00565D08" w:rsidRPr="00565D08">
        <w:rPr>
          <w:rFonts w:ascii="Arial" w:hAnsi="Arial" w:cs="Arial"/>
          <w:sz w:val="20"/>
          <w:szCs w:val="20"/>
        </w:rPr>
        <w:t xml:space="preserve">The General Meeting of Shareholders agreed to assign the Board of Directors and the Director of the company to implement the content of this </w:t>
      </w:r>
      <w:r>
        <w:rPr>
          <w:rFonts w:ascii="Arial" w:hAnsi="Arial" w:cs="Arial"/>
          <w:sz w:val="20"/>
          <w:szCs w:val="20"/>
        </w:rPr>
        <w:t>General Mandate</w:t>
      </w:r>
      <w:r w:rsidR="00565D08" w:rsidRPr="00565D08">
        <w:rPr>
          <w:rFonts w:ascii="Arial" w:hAnsi="Arial" w:cs="Arial"/>
          <w:sz w:val="20"/>
          <w:szCs w:val="20"/>
        </w:rPr>
        <w:t xml:space="preserve"> in accordance with the </w:t>
      </w:r>
      <w:r>
        <w:rPr>
          <w:rFonts w:ascii="Arial" w:hAnsi="Arial" w:cs="Arial"/>
          <w:sz w:val="20"/>
          <w:szCs w:val="20"/>
        </w:rPr>
        <w:t>Charter of the C</w:t>
      </w:r>
      <w:r w:rsidR="00565D08" w:rsidRPr="00565D08">
        <w:rPr>
          <w:rFonts w:ascii="Arial" w:hAnsi="Arial" w:cs="Arial"/>
          <w:sz w:val="20"/>
          <w:szCs w:val="20"/>
        </w:rPr>
        <w:t xml:space="preserve">ompany and </w:t>
      </w:r>
      <w:r>
        <w:rPr>
          <w:rFonts w:ascii="Arial" w:hAnsi="Arial" w:cs="Arial"/>
          <w:sz w:val="20"/>
          <w:szCs w:val="20"/>
        </w:rPr>
        <w:t>the law</w:t>
      </w:r>
    </w:p>
    <w:sectPr w:rsidR="0056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768F4"/>
    <w:rsid w:val="000A0B74"/>
    <w:rsid w:val="00110F07"/>
    <w:rsid w:val="00132EC5"/>
    <w:rsid w:val="0013377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65D08"/>
    <w:rsid w:val="0058434E"/>
    <w:rsid w:val="005B40E5"/>
    <w:rsid w:val="00660965"/>
    <w:rsid w:val="00680D27"/>
    <w:rsid w:val="006907B5"/>
    <w:rsid w:val="006E15A6"/>
    <w:rsid w:val="00745D9A"/>
    <w:rsid w:val="007A1FCC"/>
    <w:rsid w:val="007B67AF"/>
    <w:rsid w:val="007E73F0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71C96"/>
    <w:rsid w:val="00D52C26"/>
    <w:rsid w:val="00D74339"/>
    <w:rsid w:val="00D83B97"/>
    <w:rsid w:val="00DD263A"/>
    <w:rsid w:val="00EF7F0F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58</cp:revision>
  <dcterms:created xsi:type="dcterms:W3CDTF">2019-10-16T10:03:00Z</dcterms:created>
  <dcterms:modified xsi:type="dcterms:W3CDTF">2020-03-24T05:39:00Z</dcterms:modified>
</cp:coreProperties>
</file>